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3100" cy="673100"/>
                        </a:xfrm>
                        <a:prstGeom prst="rect"/>
                        <a:ln/>
                      </pic:spPr>
                    </pic:pic>
                  </a:graphicData>
                </a:graphic>
              </wp:anchor>
            </w:drawing>
          </mc:Fallback>
        </mc:AlternateContent>
      </w:r>
    </w:p>
    <w:p w:rsidR="00000000" w:rsidDel="00000000" w:rsidP="00000000" w:rsidRDefault="00000000" w:rsidRPr="00000000" w14:paraId="00000004">
      <w:pPr>
        <w:pStyle w:val="Heading1"/>
        <w:jc w:val="center"/>
        <w:rPr>
          <w:color w:val="000000"/>
          <w:sz w:val="44"/>
          <w:szCs w:val="44"/>
        </w:rPr>
      </w:pPr>
      <w:r w:rsidDel="00000000" w:rsidR="00000000" w:rsidRPr="00000000">
        <w:rPr>
          <w:color w:val="000000"/>
          <w:sz w:val="44"/>
          <w:szCs w:val="44"/>
          <w:rtl w:val="0"/>
        </w:rPr>
        <w:t xml:space="preserve">DUTY OF CARE POLICY</w:t>
      </w:r>
    </w:p>
    <w:p w:rsidR="00000000" w:rsidDel="00000000" w:rsidP="00000000" w:rsidRDefault="00000000" w:rsidRPr="00000000" w14:paraId="00000005">
      <w:pPr>
        <w:spacing w:after="240" w:before="40" w:lineRule="auto"/>
        <w:jc w:val="both"/>
        <w:rPr>
          <w:b w:val="1"/>
          <w:smallCaps w:val="1"/>
          <w:color w:val="5b9bd5"/>
          <w:sz w:val="26"/>
          <w:szCs w:val="26"/>
        </w:rPr>
      </w:pPr>
      <w:r w:rsidDel="00000000" w:rsidR="00000000" w:rsidRPr="00000000">
        <w:rPr>
          <w:b w:val="1"/>
          <w:rtl w:val="0"/>
        </w:rPr>
        <w:t xml:space="preserve"> </w:t>
      </w:r>
      <w:r w:rsidDel="00000000" w:rsidR="00000000" w:rsidRPr="00000000">
        <w:rPr>
          <w:b w:val="1"/>
          <w:smallCaps w:val="1"/>
          <w:sz w:val="26"/>
          <w:szCs w:val="26"/>
          <w:rtl w:val="0"/>
        </w:rPr>
        <w:t xml:space="preserve">PURPOSE</w:t>
      </w:r>
      <w:r w:rsidDel="00000000" w:rsidR="00000000" w:rsidRPr="00000000">
        <w:rPr>
          <w:rtl w:val="0"/>
        </w:rPr>
      </w:r>
    </w:p>
    <w:p w:rsidR="00000000" w:rsidDel="00000000" w:rsidP="00000000" w:rsidRDefault="00000000" w:rsidRPr="00000000" w14:paraId="00000006">
      <w:pPr>
        <w:spacing w:after="240" w:before="40" w:lineRule="auto"/>
        <w:jc w:val="both"/>
        <w:rPr/>
      </w:pPr>
      <w:r w:rsidDel="00000000" w:rsidR="00000000" w:rsidRPr="00000000">
        <w:rPr>
          <w:rtl w:val="0"/>
        </w:rPr>
        <w:t xml:space="preserve">The purpose of this policy is to explain to our school community the non-delegable duty of care obligations that all staff at Footscray High School owe to our students and members of the school community who visit and use the school premises. </w:t>
      </w:r>
    </w:p>
    <w:p w:rsidR="00000000" w:rsidDel="00000000" w:rsidP="00000000" w:rsidRDefault="00000000" w:rsidRPr="00000000" w14:paraId="00000007">
      <w:pPr>
        <w:spacing w:after="240" w:before="40" w:lineRule="auto"/>
        <w:jc w:val="both"/>
        <w:rPr>
          <w:b w:val="1"/>
          <w:smallCaps w:val="1"/>
          <w:sz w:val="26"/>
          <w:szCs w:val="26"/>
        </w:rPr>
      </w:pPr>
      <w:r w:rsidDel="00000000" w:rsidR="00000000" w:rsidRPr="00000000">
        <w:rPr>
          <w:b w:val="1"/>
          <w:smallCaps w:val="1"/>
          <w:sz w:val="26"/>
          <w:szCs w:val="26"/>
          <w:rtl w:val="0"/>
        </w:rPr>
        <w:t xml:space="preserve">POLICY</w:t>
      </w:r>
    </w:p>
    <w:p w:rsidR="00000000" w:rsidDel="00000000" w:rsidP="00000000" w:rsidRDefault="00000000" w:rsidRPr="00000000" w14:paraId="00000008">
      <w:pPr>
        <w:spacing w:after="240" w:before="40" w:lineRule="auto"/>
        <w:jc w:val="both"/>
        <w:rPr/>
      </w:pPr>
      <w:bookmarkStart w:colFirst="0" w:colLast="0" w:name="_heading=h.gjdgxs" w:id="0"/>
      <w:bookmarkEnd w:id="0"/>
      <w:r w:rsidDel="00000000" w:rsidR="00000000" w:rsidRPr="00000000">
        <w:rPr>
          <w:rtl w:val="0"/>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rsidR="00000000" w:rsidDel="00000000" w:rsidP="00000000" w:rsidRDefault="00000000" w:rsidRPr="00000000" w14:paraId="00000009">
      <w:pPr>
        <w:spacing w:after="240" w:before="40" w:lineRule="auto"/>
        <w:jc w:val="both"/>
        <w:rPr>
          <w:color w:val="000000"/>
        </w:rPr>
      </w:pPr>
      <w:r w:rsidDel="00000000" w:rsidR="00000000" w:rsidRPr="00000000">
        <w:rPr>
          <w:rtl w:val="0"/>
        </w:rPr>
        <w:t xml:space="preserve">Our school has developed policies and procedures to manage common risks in the school environment, including:</w:t>
      </w:r>
      <w:r w:rsidDel="00000000" w:rsidR="00000000" w:rsidRPr="00000000">
        <w:rPr>
          <w:rtl w:val="0"/>
        </w:rPr>
      </w:r>
    </w:p>
    <w:p w:rsidR="00000000" w:rsidDel="00000000" w:rsidP="00000000" w:rsidRDefault="00000000" w:rsidRPr="00000000" w14:paraId="0000000A">
      <w:pPr>
        <w:numPr>
          <w:ilvl w:val="0"/>
          <w:numId w:val="1"/>
        </w:numPr>
        <w:ind w:left="720" w:hanging="360"/>
        <w:jc w:val="both"/>
        <w:rPr/>
      </w:pPr>
      <w:r w:rsidDel="00000000" w:rsidR="00000000" w:rsidRPr="00000000">
        <w:rPr>
          <w:highlight w:val="white"/>
          <w:rtl w:val="0"/>
        </w:rPr>
        <w:t xml:space="preserve">Bullying Prevention</w:t>
      </w:r>
      <w:r w:rsidDel="00000000" w:rsidR="00000000" w:rsidRPr="00000000">
        <w:rPr>
          <w:rtl w:val="0"/>
        </w:rPr>
      </w:r>
    </w:p>
    <w:p w:rsidR="00000000" w:rsidDel="00000000" w:rsidP="00000000" w:rsidRDefault="00000000" w:rsidRPr="00000000" w14:paraId="0000000B">
      <w:pPr>
        <w:numPr>
          <w:ilvl w:val="0"/>
          <w:numId w:val="1"/>
        </w:numPr>
        <w:ind w:left="720" w:hanging="360"/>
        <w:jc w:val="both"/>
        <w:rPr/>
      </w:pPr>
      <w:r w:rsidDel="00000000" w:rsidR="00000000" w:rsidRPr="00000000">
        <w:rPr>
          <w:highlight w:val="white"/>
          <w:rtl w:val="0"/>
        </w:rPr>
        <w:t xml:space="preserve">Camps and Excursions</w:t>
      </w:r>
      <w:r w:rsidDel="00000000" w:rsidR="00000000" w:rsidRPr="00000000">
        <w:rPr>
          <w:rtl w:val="0"/>
        </w:rPr>
      </w:r>
    </w:p>
    <w:p w:rsidR="00000000" w:rsidDel="00000000" w:rsidP="00000000" w:rsidRDefault="00000000" w:rsidRPr="00000000" w14:paraId="0000000C">
      <w:pPr>
        <w:numPr>
          <w:ilvl w:val="0"/>
          <w:numId w:val="1"/>
        </w:numPr>
        <w:ind w:left="720" w:hanging="360"/>
        <w:jc w:val="both"/>
        <w:rPr/>
      </w:pPr>
      <w:r w:rsidDel="00000000" w:rsidR="00000000" w:rsidRPr="00000000">
        <w:rPr>
          <w:highlight w:val="white"/>
          <w:rtl w:val="0"/>
        </w:rPr>
        <w:t xml:space="preserve">Child Safe Standards</w:t>
      </w:r>
      <w:r w:rsidDel="00000000" w:rsidR="00000000" w:rsidRPr="00000000">
        <w:rPr>
          <w:rtl w:val="0"/>
        </w:rPr>
      </w:r>
    </w:p>
    <w:p w:rsidR="00000000" w:rsidDel="00000000" w:rsidP="00000000" w:rsidRDefault="00000000" w:rsidRPr="00000000" w14:paraId="0000000D">
      <w:pPr>
        <w:numPr>
          <w:ilvl w:val="0"/>
          <w:numId w:val="1"/>
        </w:numPr>
        <w:ind w:left="720" w:hanging="360"/>
        <w:jc w:val="both"/>
        <w:rPr/>
      </w:pPr>
      <w:r w:rsidDel="00000000" w:rsidR="00000000" w:rsidRPr="00000000">
        <w:rPr>
          <w:highlight w:val="white"/>
          <w:rtl w:val="0"/>
        </w:rPr>
        <w:t xml:space="preserve">Emergency Management</w:t>
      </w:r>
      <w:r w:rsidDel="00000000" w:rsidR="00000000" w:rsidRPr="00000000">
        <w:rPr>
          <w:rtl w:val="0"/>
        </w:rPr>
      </w:r>
    </w:p>
    <w:p w:rsidR="00000000" w:rsidDel="00000000" w:rsidP="00000000" w:rsidRDefault="00000000" w:rsidRPr="00000000" w14:paraId="0000000E">
      <w:pPr>
        <w:numPr>
          <w:ilvl w:val="0"/>
          <w:numId w:val="1"/>
        </w:numPr>
        <w:ind w:left="720" w:hanging="360"/>
        <w:jc w:val="both"/>
        <w:rPr/>
      </w:pPr>
      <w:r w:rsidDel="00000000" w:rsidR="00000000" w:rsidRPr="00000000">
        <w:rPr>
          <w:highlight w:val="white"/>
          <w:rtl w:val="0"/>
        </w:rPr>
        <w:t xml:space="preserve">First Aid</w:t>
      </w:r>
      <w:r w:rsidDel="00000000" w:rsidR="00000000" w:rsidRPr="00000000">
        <w:rPr>
          <w:rtl w:val="0"/>
        </w:rPr>
      </w:r>
    </w:p>
    <w:p w:rsidR="00000000" w:rsidDel="00000000" w:rsidP="00000000" w:rsidRDefault="00000000" w:rsidRPr="00000000" w14:paraId="0000000F">
      <w:pPr>
        <w:numPr>
          <w:ilvl w:val="0"/>
          <w:numId w:val="1"/>
        </w:numPr>
        <w:ind w:left="720" w:hanging="360"/>
        <w:jc w:val="both"/>
        <w:rPr/>
      </w:pPr>
      <w:r w:rsidDel="00000000" w:rsidR="00000000" w:rsidRPr="00000000">
        <w:rPr>
          <w:rtl w:val="0"/>
        </w:rPr>
        <w:t xml:space="preserve">Responding and Reporting Policy</w:t>
      </w:r>
    </w:p>
    <w:p w:rsidR="00000000" w:rsidDel="00000000" w:rsidP="00000000" w:rsidRDefault="00000000" w:rsidRPr="00000000" w14:paraId="00000010">
      <w:pPr>
        <w:numPr>
          <w:ilvl w:val="0"/>
          <w:numId w:val="1"/>
        </w:numPr>
        <w:ind w:left="720" w:hanging="360"/>
        <w:jc w:val="both"/>
        <w:rPr/>
      </w:pPr>
      <w:r w:rsidDel="00000000" w:rsidR="00000000" w:rsidRPr="00000000">
        <w:rPr>
          <w:highlight w:val="white"/>
          <w:rtl w:val="0"/>
        </w:rPr>
        <w:t xml:space="preserve">Occupational Health and Safety</w:t>
      </w:r>
      <w:r w:rsidDel="00000000" w:rsidR="00000000" w:rsidRPr="00000000">
        <w:rPr>
          <w:rtl w:val="0"/>
        </w:rPr>
      </w:r>
    </w:p>
    <w:p w:rsidR="00000000" w:rsidDel="00000000" w:rsidP="00000000" w:rsidRDefault="00000000" w:rsidRPr="00000000" w14:paraId="00000011">
      <w:pPr>
        <w:numPr>
          <w:ilvl w:val="0"/>
          <w:numId w:val="1"/>
        </w:numPr>
        <w:ind w:left="720" w:hanging="360"/>
        <w:jc w:val="both"/>
        <w:rPr/>
      </w:pPr>
      <w:r w:rsidDel="00000000" w:rsidR="00000000" w:rsidRPr="00000000">
        <w:rPr>
          <w:highlight w:val="white"/>
          <w:rtl w:val="0"/>
        </w:rPr>
        <w:t xml:space="preserve">Volunteers</w:t>
      </w:r>
      <w:r w:rsidDel="00000000" w:rsidR="00000000" w:rsidRPr="00000000">
        <w:rPr>
          <w:rtl w:val="0"/>
        </w:rPr>
      </w:r>
    </w:p>
    <w:p w:rsidR="00000000" w:rsidDel="00000000" w:rsidP="00000000" w:rsidRDefault="00000000" w:rsidRPr="00000000" w14:paraId="00000012">
      <w:pPr>
        <w:numPr>
          <w:ilvl w:val="0"/>
          <w:numId w:val="1"/>
        </w:numPr>
        <w:ind w:left="720" w:hanging="360"/>
        <w:jc w:val="both"/>
        <w:rPr/>
      </w:pPr>
      <w:r w:rsidDel="00000000" w:rsidR="00000000" w:rsidRPr="00000000">
        <w:rPr>
          <w:highlight w:val="white"/>
          <w:rtl w:val="0"/>
        </w:rPr>
        <w:t xml:space="preserve">Visitors</w:t>
      </w:r>
      <w:r w:rsidDel="00000000" w:rsidR="00000000" w:rsidRPr="00000000">
        <w:rPr>
          <w:rtl w:val="0"/>
        </w:rPr>
      </w:r>
    </w:p>
    <w:p w:rsidR="00000000" w:rsidDel="00000000" w:rsidP="00000000" w:rsidRDefault="00000000" w:rsidRPr="00000000" w14:paraId="00000013">
      <w:pPr>
        <w:numPr>
          <w:ilvl w:val="0"/>
          <w:numId w:val="1"/>
        </w:numPr>
        <w:ind w:left="720" w:hanging="360"/>
        <w:jc w:val="both"/>
        <w:rPr/>
      </w:pPr>
      <w:r w:rsidDel="00000000" w:rsidR="00000000" w:rsidRPr="00000000">
        <w:rPr>
          <w:highlight w:val="white"/>
          <w:rtl w:val="0"/>
        </w:rPr>
        <w:t xml:space="preserve">Working with Children and Suitability Checks</w:t>
      </w:r>
      <w:r w:rsidDel="00000000" w:rsidR="00000000" w:rsidRPr="00000000">
        <w:rPr>
          <w:rtl w:val="0"/>
        </w:rPr>
      </w:r>
    </w:p>
    <w:p w:rsidR="00000000" w:rsidDel="00000000" w:rsidP="00000000" w:rsidRDefault="00000000" w:rsidRPr="00000000" w14:paraId="00000014">
      <w:pPr>
        <w:numPr>
          <w:ilvl w:val="0"/>
          <w:numId w:val="1"/>
        </w:numPr>
        <w:ind w:left="720" w:hanging="360"/>
        <w:jc w:val="both"/>
        <w:rPr/>
      </w:pPr>
      <w:r w:rsidDel="00000000" w:rsidR="00000000" w:rsidRPr="00000000">
        <w:rPr>
          <w:highlight w:val="white"/>
          <w:rtl w:val="0"/>
        </w:rPr>
        <w:t xml:space="preserve">Yard Duty and Supervision</w:t>
      </w:r>
      <w:r w:rsidDel="00000000" w:rsidR="00000000" w:rsidRPr="00000000">
        <w:rPr>
          <w:rtl w:val="0"/>
        </w:rPr>
      </w:r>
    </w:p>
    <w:p w:rsidR="00000000" w:rsidDel="00000000" w:rsidP="00000000" w:rsidRDefault="00000000" w:rsidRPr="00000000" w14:paraId="00000015">
      <w:pPr>
        <w:numPr>
          <w:ilvl w:val="0"/>
          <w:numId w:val="1"/>
        </w:numPr>
        <w:ind w:left="720" w:hanging="360"/>
        <w:jc w:val="both"/>
        <w:rPr/>
      </w:pPr>
      <w:r w:rsidDel="00000000" w:rsidR="00000000" w:rsidRPr="00000000">
        <w:rPr>
          <w:rtl w:val="0"/>
        </w:rPr>
        <w:t xml:space="preserve">Homestay policies and procedures</w:t>
      </w:r>
    </w:p>
    <w:p w:rsidR="00000000" w:rsidDel="00000000" w:rsidP="00000000" w:rsidRDefault="00000000" w:rsidRPr="00000000" w14:paraId="00000016">
      <w:pPr>
        <w:ind w:left="720"/>
        <w:jc w:val="both"/>
        <w:rPr>
          <w:highlight w:val="white"/>
        </w:rPr>
      </w:pPr>
      <w:r w:rsidDel="00000000" w:rsidR="00000000" w:rsidRPr="00000000">
        <w:rPr>
          <w:rtl w:val="0"/>
        </w:rPr>
      </w:r>
    </w:p>
    <w:p w:rsidR="00000000" w:rsidDel="00000000" w:rsidP="00000000" w:rsidRDefault="00000000" w:rsidRPr="00000000" w14:paraId="00000017">
      <w:pPr>
        <w:spacing w:after="240" w:before="40" w:lineRule="auto"/>
        <w:jc w:val="both"/>
        <w:rPr/>
      </w:pPr>
      <w:r w:rsidDel="00000000" w:rsidR="00000000" w:rsidRPr="00000000">
        <w:rPr>
          <w:rtl w:val="0"/>
        </w:rP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rsidR="00000000" w:rsidDel="00000000" w:rsidP="00000000" w:rsidRDefault="00000000" w:rsidRPr="00000000" w14:paraId="00000018">
      <w:pPr>
        <w:spacing w:after="240" w:before="40" w:lineRule="auto"/>
        <w:jc w:val="both"/>
        <w:rPr/>
      </w:pPr>
      <w:r w:rsidDel="00000000" w:rsidR="00000000" w:rsidRPr="00000000">
        <w:rPr>
          <w:rtl w:val="0"/>
        </w:rPr>
        <w:t xml:space="preserve">School staff, parents, carers and students are encouraged to speak to the principal to raise any concerns about risks or hazards at our school, or our duty of care obligations. </w:t>
      </w:r>
    </w:p>
    <w:p w:rsidR="00000000" w:rsidDel="00000000" w:rsidP="00000000" w:rsidRDefault="00000000" w:rsidRPr="00000000" w14:paraId="00000019">
      <w:pPr>
        <w:spacing w:after="240" w:before="40" w:lineRule="auto"/>
        <w:jc w:val="both"/>
        <w:rPr>
          <w:b w:val="1"/>
        </w:rPr>
      </w:pPr>
      <w:r w:rsidDel="00000000" w:rsidR="00000000" w:rsidRPr="00000000">
        <w:rPr>
          <w:b w:val="1"/>
          <w:rtl w:val="0"/>
        </w:rPr>
        <w:t xml:space="preserve">Standard of care required by Footscray High School</w:t>
      </w:r>
    </w:p>
    <w:p w:rsidR="00000000" w:rsidDel="00000000" w:rsidP="00000000" w:rsidRDefault="00000000" w:rsidRPr="00000000" w14:paraId="0000001A">
      <w:pPr>
        <w:spacing w:after="240" w:before="40" w:lineRule="auto"/>
        <w:jc w:val="both"/>
        <w:rPr/>
      </w:pPr>
      <w:r w:rsidDel="00000000" w:rsidR="00000000" w:rsidRPr="00000000">
        <w:rPr>
          <w:rtl w:val="0"/>
        </w:rPr>
        <w:t xml:space="preserve">Principal and teachers are held to a high standard of care in relation to students. The duty requires the principal and teachers to take reasonable steps to minimise the risk of reasonably foreseeable harm, including:</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 school complies with the seven Child Safe Standards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of suitable and safe premises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of an adequate system of supervision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strategies to prevent bullying</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medical assistance is provided to a sick or injured student</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employee recruitment, conduct and performance.</w:t>
      </w:r>
      <w:r w:rsidDel="00000000" w:rsidR="00000000" w:rsidRPr="00000000">
        <w:rPr>
          <w:rtl w:val="0"/>
        </w:rPr>
      </w:r>
    </w:p>
    <w:p w:rsidR="00000000" w:rsidDel="00000000" w:rsidP="00000000" w:rsidRDefault="00000000" w:rsidRPr="00000000" w14:paraId="00000021">
      <w:pPr>
        <w:spacing w:after="240" w:before="40" w:lineRule="auto"/>
        <w:jc w:val="both"/>
        <w:rPr/>
      </w:pPr>
      <w:r w:rsidDel="00000000" w:rsidR="00000000" w:rsidRPr="00000000">
        <w:rPr>
          <w:rtl w:val="0"/>
        </w:rPr>
        <w:t xml:space="preserve">The duty is non-delegable, meaning that it cannot be assigned to another party.</w:t>
      </w:r>
    </w:p>
    <w:p w:rsidR="00000000" w:rsidDel="00000000" w:rsidP="00000000" w:rsidRDefault="00000000" w:rsidRPr="00000000" w14:paraId="00000022">
      <w:pPr>
        <w:spacing w:after="240" w:before="40" w:lineRule="auto"/>
        <w:jc w:val="both"/>
        <w:rPr/>
      </w:pPr>
      <w:r w:rsidDel="00000000" w:rsidR="00000000" w:rsidRPr="00000000">
        <w:rPr>
          <w:rtl w:val="0"/>
        </w:rPr>
        <w:t xml:space="preserve">Whenever a teacher-student relationship exists, teachers have a special duty of care.  Generally, teachers are expected to take such measures as are reasonable in the circumstances to protect a student under their charge from reasonably foreseeable risks of injury. The nature and extent of this duty will vary according to the circumstances. </w:t>
      </w:r>
    </w:p>
    <w:p w:rsidR="00000000" w:rsidDel="00000000" w:rsidP="00000000" w:rsidRDefault="00000000" w:rsidRPr="00000000" w14:paraId="00000023">
      <w:pPr>
        <w:spacing w:after="240" w:before="40" w:lineRule="auto"/>
        <w:jc w:val="both"/>
        <w:rPr/>
      </w:pPr>
      <w:r w:rsidDel="00000000" w:rsidR="00000000" w:rsidRPr="00000000">
        <w:rPr>
          <w:rtl w:val="0"/>
        </w:rPr>
        <w:t xml:space="preserve">The important issue in all cases will be what precautions the school could reasonably be expected to have taken to prevent the injury from occurring.  This will involve consideration of the following factors:</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the risk of harm</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probability that the harm would occur if care were not taken</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likely seriousness of the harm</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burden of taking precautions to avoid the risk of harm</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social utility of the activity that creates the risk of harm.</w:t>
      </w:r>
      <w:r w:rsidDel="00000000" w:rsidR="00000000" w:rsidRPr="00000000">
        <w:rPr>
          <w:rtl w:val="0"/>
        </w:rPr>
      </w:r>
    </w:p>
    <w:p w:rsidR="00000000" w:rsidDel="00000000" w:rsidP="00000000" w:rsidRDefault="00000000" w:rsidRPr="00000000" w14:paraId="00000029">
      <w:pPr>
        <w:spacing w:after="240" w:before="40" w:lineRule="auto"/>
        <w:jc w:val="both"/>
        <w:rPr/>
      </w:pPr>
      <w:r w:rsidDel="00000000" w:rsidR="00000000" w:rsidRPr="00000000">
        <w:rPr>
          <w:b w:val="1"/>
          <w:rtl w:val="0"/>
        </w:rPr>
        <w:t xml:space="preserve">External Providers</w:t>
      </w:r>
      <w:r w:rsidDel="00000000" w:rsidR="00000000" w:rsidRPr="00000000">
        <w:rPr>
          <w:rtl w:val="0"/>
        </w:rPr>
      </w:r>
    </w:p>
    <w:p w:rsidR="00000000" w:rsidDel="00000000" w:rsidP="00000000" w:rsidRDefault="00000000" w:rsidRPr="00000000" w14:paraId="0000002A">
      <w:pPr>
        <w:spacing w:after="240" w:before="40" w:lineRule="auto"/>
        <w:jc w:val="both"/>
        <w:rPr/>
      </w:pPr>
      <w:r w:rsidDel="00000000" w:rsidR="00000000" w:rsidRPr="00000000">
        <w:rPr>
          <w:rtl w:val="0"/>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Del="00000000" w:rsidR="00000000" w:rsidRPr="00000000">
        <w:rPr>
          <w:i w:val="1"/>
          <w:rtl w:val="0"/>
        </w:rPr>
        <w:t xml:space="preserve">Visitors Policy</w:t>
      </w:r>
      <w:r w:rsidDel="00000000" w:rsidR="00000000" w:rsidRPr="00000000">
        <w:rPr>
          <w:rtl w:val="0"/>
        </w:rPr>
        <w:t xml:space="preserve"> and </w:t>
      </w:r>
      <w:r w:rsidDel="00000000" w:rsidR="00000000" w:rsidRPr="00000000">
        <w:rPr>
          <w:i w:val="1"/>
          <w:rtl w:val="0"/>
        </w:rPr>
        <w:t xml:space="preserve">Camps and Excursions Policy</w:t>
      </w:r>
      <w:r w:rsidDel="00000000" w:rsidR="00000000" w:rsidRPr="00000000">
        <w:rPr>
          <w:rtl w:val="0"/>
        </w:rPr>
        <w:t xml:space="preserve"> include information on the safety and care of our students when engaged with external providers.</w:t>
      </w:r>
    </w:p>
    <w:p w:rsidR="00000000" w:rsidDel="00000000" w:rsidP="00000000" w:rsidRDefault="00000000" w:rsidRPr="00000000" w14:paraId="0000002B">
      <w:pPr>
        <w:spacing w:after="240" w:before="40" w:lineRule="auto"/>
        <w:jc w:val="both"/>
        <w:rPr/>
      </w:pPr>
      <w:r w:rsidDel="00000000" w:rsidR="00000000" w:rsidRPr="00000000">
        <w:rPr>
          <w:rtl w:val="0"/>
        </w:rPr>
        <w:t xml:space="preserve">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w:t>
      </w:r>
    </w:p>
    <w:p w:rsidR="00000000" w:rsidDel="00000000" w:rsidP="00000000" w:rsidRDefault="00000000" w:rsidRPr="00000000" w14:paraId="0000002C">
      <w:pPr>
        <w:spacing w:after="240" w:before="40" w:lineRule="auto"/>
        <w:jc w:val="both"/>
        <w:rPr/>
      </w:pPr>
      <w:r w:rsidDel="00000000" w:rsidR="00000000" w:rsidRPr="00000000">
        <w:rPr>
          <w:rtl w:val="0"/>
        </w:rPr>
        <w:t xml:space="preserve">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w:t>
      </w:r>
      <w:hyperlink r:id="rId8">
        <w:r w:rsidDel="00000000" w:rsidR="00000000" w:rsidRPr="00000000">
          <w:rPr>
            <w:color w:val="0000ff"/>
            <w:u w:val="single"/>
            <w:rtl w:val="0"/>
          </w:rPr>
          <w:t xml:space="preserve">link.</w:t>
        </w:r>
      </w:hyperlink>
      <w:r w:rsidDel="00000000" w:rsidR="00000000" w:rsidRPr="00000000">
        <w:rPr>
          <w:rtl w:val="0"/>
        </w:rPr>
      </w:r>
    </w:p>
    <w:p w:rsidR="00000000" w:rsidDel="00000000" w:rsidP="00000000" w:rsidRDefault="00000000" w:rsidRPr="00000000" w14:paraId="0000002D">
      <w:pPr>
        <w:spacing w:after="240" w:before="40" w:lineRule="auto"/>
        <w:jc w:val="both"/>
        <w:rPr>
          <w:b w:val="1"/>
        </w:rPr>
      </w:pPr>
      <w:r w:rsidDel="00000000" w:rsidR="00000000" w:rsidRPr="00000000">
        <w:rPr>
          <w:b w:val="1"/>
          <w:rtl w:val="0"/>
        </w:rPr>
        <w:t xml:space="preserve">International Students</w:t>
      </w:r>
    </w:p>
    <w:p w:rsidR="00000000" w:rsidDel="00000000" w:rsidP="00000000" w:rsidRDefault="00000000" w:rsidRPr="00000000" w14:paraId="0000002E">
      <w:pPr>
        <w:spacing w:after="240" w:before="40" w:lineRule="auto"/>
        <w:jc w:val="both"/>
        <w:rPr/>
      </w:pPr>
      <w:r w:rsidDel="00000000" w:rsidR="00000000" w:rsidRPr="00000000">
        <w:rPr>
          <w:rtl w:val="0"/>
        </w:rPr>
        <w:t xml:space="preserve">Footscray High School also</w:t>
      </w:r>
      <w:r w:rsidDel="00000000" w:rsidR="00000000" w:rsidRPr="00000000">
        <w:rPr>
          <w:b w:val="1"/>
          <w:rtl w:val="0"/>
        </w:rPr>
        <w:t xml:space="preserve"> </w:t>
      </w:r>
      <w:r w:rsidDel="00000000" w:rsidR="00000000" w:rsidRPr="00000000">
        <w:rPr>
          <w:rtl w:val="0"/>
        </w:rPr>
        <w:t xml:space="preserve">enrols international students under the age of 18 (who are not being cared for by a parent or suitable relative). Footscray High School</w:t>
      </w:r>
      <w:r w:rsidDel="00000000" w:rsidR="00000000" w:rsidRPr="00000000">
        <w:rPr>
          <w:b w:val="1"/>
          <w:rtl w:val="0"/>
        </w:rPr>
        <w:t xml:space="preserve"> </w:t>
      </w:r>
      <w:r w:rsidDel="00000000" w:rsidR="00000000" w:rsidRPr="00000000">
        <w:rPr>
          <w:rtl w:val="0"/>
        </w:rPr>
        <w:t xml:space="preserve">has comprehensive homestay policy and procedures in place to assess and monitor the suitability of accommodation arrangements.</w:t>
      </w:r>
    </w:p>
    <w:p w:rsidR="00000000" w:rsidDel="00000000" w:rsidP="00000000" w:rsidRDefault="00000000" w:rsidRPr="00000000" w14:paraId="0000002F">
      <w:pPr>
        <w:spacing w:after="240" w:before="40" w:lineRule="auto"/>
        <w:jc w:val="both"/>
        <w:rPr/>
      </w:pPr>
      <w:r w:rsidDel="00000000" w:rsidR="00000000" w:rsidRPr="00000000">
        <w:rPr>
          <w:rtl w:val="0"/>
        </w:rPr>
        <w:t xml:space="preserve">Footscray High School is required to comply with the Departments International Student accreditation process and agreed homestay arrangements. </w:t>
      </w:r>
    </w:p>
    <w:p w:rsidR="00000000" w:rsidDel="00000000" w:rsidP="00000000" w:rsidRDefault="00000000" w:rsidRPr="00000000" w14:paraId="00000030">
      <w:pPr>
        <w:spacing w:after="240" w:before="40" w:lineRule="auto"/>
        <w:jc w:val="both"/>
        <w:rPr>
          <w:b w:val="1"/>
        </w:rPr>
      </w:pPr>
      <w:r w:rsidDel="00000000" w:rsidR="00000000" w:rsidRPr="00000000">
        <w:rPr>
          <w:rtl w:val="0"/>
        </w:rPr>
      </w:r>
    </w:p>
    <w:p w:rsidR="00000000" w:rsidDel="00000000" w:rsidP="00000000" w:rsidRDefault="00000000" w:rsidRPr="00000000" w14:paraId="00000031">
      <w:pPr>
        <w:spacing w:after="240" w:before="40" w:lineRule="auto"/>
        <w:jc w:val="both"/>
        <w:rPr>
          <w:b w:val="1"/>
        </w:rPr>
      </w:pPr>
      <w:bookmarkStart w:colFirst="0" w:colLast="0" w:name="_heading=h.30j0zll" w:id="1"/>
      <w:bookmarkEnd w:id="1"/>
      <w:r w:rsidDel="00000000" w:rsidR="00000000" w:rsidRPr="00000000">
        <w:rPr>
          <w:b w:val="1"/>
          <w:rtl w:val="0"/>
        </w:rPr>
        <w:t xml:space="preserve">Duty of care to students outside the school</w:t>
      </w:r>
    </w:p>
    <w:p w:rsidR="00000000" w:rsidDel="00000000" w:rsidP="00000000" w:rsidRDefault="00000000" w:rsidRPr="00000000" w14:paraId="00000032">
      <w:pPr>
        <w:spacing w:after="240" w:before="40" w:lineRule="auto"/>
        <w:jc w:val="both"/>
        <w:rPr/>
      </w:pPr>
      <w:r w:rsidDel="00000000" w:rsidR="00000000" w:rsidRPr="00000000">
        <w:rPr>
          <w:rtl w:val="0"/>
        </w:rPr>
        <w:t xml:space="preserve">The law has established that, in some circumstances, a school’s duty (and therefore the Department’s duty) will extend beyond school hours and outside of school grounds.  The duty will be extended to outside school hours and premises when the relationship between the school and the student requires it in the particular circumstances. Whether the duty extends outside of school grounds depends on all the circumstances of each individual case, and the school’s knowledge of any dangers. </w:t>
      </w:r>
    </w:p>
    <w:p w:rsidR="00000000" w:rsidDel="00000000" w:rsidP="00000000" w:rsidRDefault="00000000" w:rsidRPr="00000000" w14:paraId="00000033">
      <w:pPr>
        <w:spacing w:after="240" w:before="40" w:lineRule="auto"/>
        <w:jc w:val="both"/>
        <w:rPr/>
      </w:pPr>
      <w:r w:rsidDel="00000000" w:rsidR="00000000" w:rsidRPr="00000000">
        <w:rPr>
          <w:rtl w:val="0"/>
        </w:rPr>
        <w:t xml:space="preserve">It is important that schools clearly inform parents when supervision will be provided and that no formal supervision occurs outside those hours. Similarly, some risks outside of school will involve informing parents of bus arrangements and leaving it to parents to make appropriate arrangements for transporting their children to and from school.</w:t>
      </w:r>
    </w:p>
    <w:p w:rsidR="00000000" w:rsidDel="00000000" w:rsidP="00000000" w:rsidRDefault="00000000" w:rsidRPr="00000000" w14:paraId="00000034">
      <w:pPr>
        <w:spacing w:after="240" w:before="40" w:lineRule="auto"/>
        <w:jc w:val="both"/>
        <w:rPr>
          <w:b w:val="1"/>
        </w:rPr>
      </w:pPr>
      <w:r w:rsidDel="00000000" w:rsidR="00000000" w:rsidRPr="00000000">
        <w:rPr>
          <w:b w:val="1"/>
          <w:rtl w:val="0"/>
        </w:rPr>
        <w:t xml:space="preserve">Negligent advice: teachers</w:t>
      </w:r>
    </w:p>
    <w:p w:rsidR="00000000" w:rsidDel="00000000" w:rsidP="00000000" w:rsidRDefault="00000000" w:rsidRPr="00000000" w14:paraId="00000035">
      <w:pPr>
        <w:spacing w:after="240" w:before="40" w:lineRule="auto"/>
        <w:jc w:val="both"/>
        <w:rPr/>
      </w:pPr>
      <w:r w:rsidDel="00000000" w:rsidR="00000000" w:rsidRPr="00000000">
        <w:rPr>
          <w:rtl w:val="0"/>
        </w:rPr>
        <w:t xml:space="preserve">Teachers are frequently called upon to advise students. When doing so, teachers should:</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 their advice to students to areas within their own professional competence and given in situations arising from a role specified for them by the Principal;</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advice they give is correct and in line with the most recent available statements from institutions or employers. Careers teachers and coordinators at senior levels should keep contemporaneous notes of advice given to individuals; and</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giving advice in areas unrelated to their role or where they may lack expertise.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40" w:before="40" w:lineRule="auto"/>
        <w:jc w:val="both"/>
        <w:rPr>
          <w:b w:val="1"/>
          <w:smallCaps w:val="1"/>
          <w:sz w:val="26"/>
          <w:szCs w:val="26"/>
        </w:rPr>
      </w:pPr>
      <w:r w:rsidDel="00000000" w:rsidR="00000000" w:rsidRPr="00000000">
        <w:rPr>
          <w:b w:val="1"/>
          <w:smallCaps w:val="1"/>
          <w:sz w:val="26"/>
          <w:szCs w:val="26"/>
          <w:rtl w:val="0"/>
        </w:rPr>
        <w:t xml:space="preserve">FURTHER SCHOOL INFORMATION AND RESOURCES</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before="40" w:lineRule="auto"/>
        <w:ind w:left="720" w:hanging="360"/>
        <w:jc w:val="both"/>
        <w:rPr/>
      </w:pPr>
      <w:r w:rsidDel="00000000" w:rsidR="00000000" w:rsidRPr="00000000">
        <w:rPr>
          <w:color w:val="000000"/>
          <w:rtl w:val="0"/>
        </w:rPr>
        <w:t xml:space="preserve">School Policy and Advisory Guide: </w:t>
      </w:r>
      <w:hyperlink r:id="rId9">
        <w:r w:rsidDel="00000000" w:rsidR="00000000" w:rsidRPr="00000000">
          <w:rPr>
            <w:color w:val="0000ff"/>
            <w:u w:val="single"/>
            <w:rtl w:val="0"/>
          </w:rPr>
          <w:t xml:space="preserve">Duty of Care</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School Policy and Advisory Guide: </w:t>
      </w:r>
      <w:hyperlink r:id="rId10">
        <w:r w:rsidDel="00000000" w:rsidR="00000000" w:rsidRPr="00000000">
          <w:rPr>
            <w:color w:val="0000ff"/>
            <w:u w:val="single"/>
            <w:rtl w:val="0"/>
          </w:rPr>
          <w:t xml:space="preserve">Workplace Learning</w:t>
        </w:r>
      </w:hyperlink>
      <w:r w:rsidDel="00000000" w:rsidR="00000000" w:rsidRPr="00000000">
        <w:rPr>
          <w:rtl w:val="0"/>
        </w:rPr>
      </w:r>
    </w:p>
    <w:p w:rsidR="00000000" w:rsidDel="00000000" w:rsidP="00000000" w:rsidRDefault="00000000" w:rsidRPr="00000000" w14:paraId="0000003C">
      <w:pPr>
        <w:numPr>
          <w:ilvl w:val="0"/>
          <w:numId w:val="2"/>
        </w:numPr>
        <w:ind w:left="720" w:hanging="360"/>
        <w:jc w:val="both"/>
        <w:rPr/>
      </w:pPr>
      <w:r w:rsidDel="00000000" w:rsidR="00000000" w:rsidRPr="00000000">
        <w:rPr>
          <w:highlight w:val="white"/>
          <w:rtl w:val="0"/>
        </w:rPr>
        <w:t xml:space="preserve">Bullying Prevention Policy</w:t>
      </w:r>
      <w:r w:rsidDel="00000000" w:rsidR="00000000" w:rsidRPr="00000000">
        <w:rPr>
          <w:rtl w:val="0"/>
        </w:rPr>
      </w:r>
    </w:p>
    <w:p w:rsidR="00000000" w:rsidDel="00000000" w:rsidP="00000000" w:rsidRDefault="00000000" w:rsidRPr="00000000" w14:paraId="0000003D">
      <w:pPr>
        <w:numPr>
          <w:ilvl w:val="0"/>
          <w:numId w:val="2"/>
        </w:numPr>
        <w:ind w:left="720" w:hanging="360"/>
        <w:jc w:val="both"/>
        <w:rPr/>
      </w:pPr>
      <w:r w:rsidDel="00000000" w:rsidR="00000000" w:rsidRPr="00000000">
        <w:rPr>
          <w:highlight w:val="white"/>
          <w:rtl w:val="0"/>
        </w:rPr>
        <w:t xml:space="preserve">Camps and Excursions Policy</w:t>
      </w:r>
      <w:r w:rsidDel="00000000" w:rsidR="00000000" w:rsidRPr="00000000">
        <w:rPr>
          <w:rtl w:val="0"/>
        </w:rPr>
      </w:r>
    </w:p>
    <w:p w:rsidR="00000000" w:rsidDel="00000000" w:rsidP="00000000" w:rsidRDefault="00000000" w:rsidRPr="00000000" w14:paraId="0000003E">
      <w:pPr>
        <w:numPr>
          <w:ilvl w:val="0"/>
          <w:numId w:val="2"/>
        </w:numPr>
        <w:ind w:left="720" w:hanging="360"/>
        <w:jc w:val="both"/>
        <w:rPr/>
      </w:pPr>
      <w:r w:rsidDel="00000000" w:rsidR="00000000" w:rsidRPr="00000000">
        <w:rPr>
          <w:highlight w:val="white"/>
          <w:rtl w:val="0"/>
        </w:rPr>
        <w:t xml:space="preserve">Child Safe Policy</w:t>
      </w:r>
      <w:r w:rsidDel="00000000" w:rsidR="00000000" w:rsidRPr="00000000">
        <w:rPr>
          <w:rtl w:val="0"/>
        </w:rPr>
        <w:t xml:space="preserve"> and Child Safe Code of Conduct</w:t>
      </w:r>
    </w:p>
    <w:p w:rsidR="00000000" w:rsidDel="00000000" w:rsidP="00000000" w:rsidRDefault="00000000" w:rsidRPr="00000000" w14:paraId="0000003F">
      <w:pPr>
        <w:numPr>
          <w:ilvl w:val="0"/>
          <w:numId w:val="2"/>
        </w:numPr>
        <w:ind w:left="720" w:hanging="360"/>
        <w:jc w:val="both"/>
        <w:rPr/>
      </w:pPr>
      <w:r w:rsidDel="00000000" w:rsidR="00000000" w:rsidRPr="00000000">
        <w:rPr>
          <w:highlight w:val="white"/>
          <w:rtl w:val="0"/>
        </w:rPr>
        <w:t xml:space="preserve">Emergency Management Plan</w:t>
      </w:r>
      <w:r w:rsidDel="00000000" w:rsidR="00000000" w:rsidRPr="00000000">
        <w:rPr>
          <w:rtl w:val="0"/>
        </w:rPr>
      </w:r>
    </w:p>
    <w:p w:rsidR="00000000" w:rsidDel="00000000" w:rsidP="00000000" w:rsidRDefault="00000000" w:rsidRPr="00000000" w14:paraId="00000040">
      <w:pPr>
        <w:numPr>
          <w:ilvl w:val="0"/>
          <w:numId w:val="2"/>
        </w:numPr>
        <w:ind w:left="720" w:hanging="360"/>
        <w:jc w:val="both"/>
        <w:rPr/>
      </w:pPr>
      <w:r w:rsidDel="00000000" w:rsidR="00000000" w:rsidRPr="00000000">
        <w:rPr>
          <w:highlight w:val="white"/>
          <w:rtl w:val="0"/>
        </w:rPr>
        <w:t xml:space="preserve">First Aid Policy</w:t>
      </w:r>
      <w:r w:rsidDel="00000000" w:rsidR="00000000" w:rsidRPr="00000000">
        <w:rPr>
          <w:rtl w:val="0"/>
        </w:rPr>
      </w:r>
    </w:p>
    <w:p w:rsidR="00000000" w:rsidDel="00000000" w:rsidP="00000000" w:rsidRDefault="00000000" w:rsidRPr="00000000" w14:paraId="00000041">
      <w:pPr>
        <w:numPr>
          <w:ilvl w:val="0"/>
          <w:numId w:val="2"/>
        </w:numPr>
        <w:ind w:left="720" w:hanging="360"/>
        <w:jc w:val="both"/>
        <w:rPr/>
      </w:pPr>
      <w:r w:rsidDel="00000000" w:rsidR="00000000" w:rsidRPr="00000000">
        <w:rPr>
          <w:rtl w:val="0"/>
        </w:rPr>
        <w:t xml:space="preserve">Reporting and Responding Policy</w:t>
      </w:r>
    </w:p>
    <w:p w:rsidR="00000000" w:rsidDel="00000000" w:rsidP="00000000" w:rsidRDefault="00000000" w:rsidRPr="00000000" w14:paraId="00000042">
      <w:pPr>
        <w:numPr>
          <w:ilvl w:val="0"/>
          <w:numId w:val="2"/>
        </w:numPr>
        <w:ind w:left="720" w:hanging="360"/>
        <w:jc w:val="both"/>
        <w:rPr/>
      </w:pPr>
      <w:r w:rsidDel="00000000" w:rsidR="00000000" w:rsidRPr="00000000">
        <w:rPr>
          <w:highlight w:val="white"/>
          <w:rtl w:val="0"/>
        </w:rPr>
        <w:t xml:space="preserve">Occupational Health and Safety</w:t>
      </w:r>
      <w:r w:rsidDel="00000000" w:rsidR="00000000" w:rsidRPr="00000000">
        <w:rPr>
          <w:rtl w:val="0"/>
        </w:rPr>
      </w:r>
    </w:p>
    <w:p w:rsidR="00000000" w:rsidDel="00000000" w:rsidP="00000000" w:rsidRDefault="00000000" w:rsidRPr="00000000" w14:paraId="00000043">
      <w:pPr>
        <w:numPr>
          <w:ilvl w:val="0"/>
          <w:numId w:val="2"/>
        </w:numPr>
        <w:ind w:left="720" w:hanging="360"/>
        <w:jc w:val="both"/>
        <w:rPr/>
      </w:pPr>
      <w:r w:rsidDel="00000000" w:rsidR="00000000" w:rsidRPr="00000000">
        <w:rPr>
          <w:highlight w:val="white"/>
          <w:rtl w:val="0"/>
        </w:rPr>
        <w:t xml:space="preserve">Volunteers Policy</w:t>
      </w:r>
      <w:r w:rsidDel="00000000" w:rsidR="00000000" w:rsidRPr="00000000">
        <w:rPr>
          <w:rtl w:val="0"/>
        </w:rPr>
      </w:r>
    </w:p>
    <w:p w:rsidR="00000000" w:rsidDel="00000000" w:rsidP="00000000" w:rsidRDefault="00000000" w:rsidRPr="00000000" w14:paraId="00000044">
      <w:pPr>
        <w:numPr>
          <w:ilvl w:val="0"/>
          <w:numId w:val="2"/>
        </w:numPr>
        <w:ind w:left="720" w:hanging="360"/>
        <w:jc w:val="both"/>
        <w:rPr/>
      </w:pPr>
      <w:r w:rsidDel="00000000" w:rsidR="00000000" w:rsidRPr="00000000">
        <w:rPr>
          <w:highlight w:val="white"/>
          <w:rtl w:val="0"/>
        </w:rPr>
        <w:t xml:space="preserve">Visitors Policy</w:t>
      </w:r>
      <w:r w:rsidDel="00000000" w:rsidR="00000000" w:rsidRPr="00000000">
        <w:rPr>
          <w:rtl w:val="0"/>
        </w:rPr>
      </w:r>
    </w:p>
    <w:p w:rsidR="00000000" w:rsidDel="00000000" w:rsidP="00000000" w:rsidRDefault="00000000" w:rsidRPr="00000000" w14:paraId="00000045">
      <w:pPr>
        <w:numPr>
          <w:ilvl w:val="0"/>
          <w:numId w:val="2"/>
        </w:numPr>
        <w:ind w:left="720" w:hanging="360"/>
        <w:jc w:val="both"/>
        <w:rPr/>
      </w:pPr>
      <w:r w:rsidDel="00000000" w:rsidR="00000000" w:rsidRPr="00000000">
        <w:rPr>
          <w:highlight w:val="white"/>
          <w:rtl w:val="0"/>
        </w:rPr>
        <w:t xml:space="preserve">Working with Children and Suitability Checks</w:t>
      </w:r>
      <w:r w:rsidDel="00000000" w:rsidR="00000000" w:rsidRPr="00000000">
        <w:rPr>
          <w:rtl w:val="0"/>
        </w:rPr>
      </w:r>
    </w:p>
    <w:p w:rsidR="00000000" w:rsidDel="00000000" w:rsidP="00000000" w:rsidRDefault="00000000" w:rsidRPr="00000000" w14:paraId="00000046">
      <w:pPr>
        <w:numPr>
          <w:ilvl w:val="0"/>
          <w:numId w:val="2"/>
        </w:numPr>
        <w:ind w:left="720" w:hanging="360"/>
        <w:jc w:val="both"/>
        <w:rPr/>
      </w:pPr>
      <w:r w:rsidDel="00000000" w:rsidR="00000000" w:rsidRPr="00000000">
        <w:rPr>
          <w:highlight w:val="white"/>
          <w:rtl w:val="0"/>
        </w:rPr>
        <w:t xml:space="preserve">Yard Duty and Supervision Policy</w:t>
      </w:r>
      <w:r w:rsidDel="00000000" w:rsidR="00000000" w:rsidRPr="00000000">
        <w:rPr>
          <w:rtl w:val="0"/>
        </w:rPr>
      </w:r>
    </w:p>
    <w:p w:rsidR="00000000" w:rsidDel="00000000" w:rsidP="00000000" w:rsidRDefault="00000000" w:rsidRPr="00000000" w14:paraId="00000047">
      <w:pPr>
        <w:numPr>
          <w:ilvl w:val="0"/>
          <w:numId w:val="2"/>
        </w:numPr>
        <w:ind w:left="720" w:hanging="360"/>
        <w:jc w:val="both"/>
        <w:rPr/>
      </w:pPr>
      <w:r w:rsidDel="00000000" w:rsidR="00000000" w:rsidRPr="00000000">
        <w:rPr>
          <w:rtl w:val="0"/>
        </w:rPr>
        <w:t xml:space="preserve">Parents Yard Duty and Supervision Policy </w:t>
      </w:r>
    </w:p>
    <w:p w:rsidR="00000000" w:rsidDel="00000000" w:rsidP="00000000" w:rsidRDefault="00000000" w:rsidRPr="00000000" w14:paraId="00000048">
      <w:pPr>
        <w:ind w:left="720"/>
        <w:jc w:val="both"/>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40" w:before="40" w:lineRule="auto"/>
        <w:jc w:val="both"/>
        <w:rPr>
          <w:b w:val="1"/>
          <w:smallCaps w:val="1"/>
          <w:sz w:val="26"/>
          <w:szCs w:val="26"/>
        </w:rPr>
      </w:pPr>
      <w:r w:rsidDel="00000000" w:rsidR="00000000" w:rsidRPr="00000000">
        <w:rPr>
          <w:b w:val="1"/>
          <w:smallCaps w:val="1"/>
          <w:sz w:val="26"/>
          <w:szCs w:val="26"/>
          <w:rtl w:val="0"/>
        </w:rPr>
        <w:t xml:space="preserve">REVIEW CYCLE</w:t>
      </w:r>
    </w:p>
    <w:p w:rsidR="00000000" w:rsidDel="00000000" w:rsidP="00000000" w:rsidRDefault="00000000" w:rsidRPr="00000000" w14:paraId="0000004A">
      <w:pPr>
        <w:spacing w:after="240" w:before="40" w:lineRule="auto"/>
        <w:jc w:val="both"/>
        <w:rPr/>
      </w:pPr>
      <w:r w:rsidDel="00000000" w:rsidR="00000000" w:rsidRPr="00000000">
        <w:rPr>
          <w:rtl w:val="0"/>
        </w:rPr>
        <w:t xml:space="preserve">This policy was last updated on August 2019 and is scheduled for review in August 2022.</w:t>
      </w:r>
    </w:p>
    <w:sectPr>
      <w:headerReference r:id="rId11" w:type="default"/>
      <w:headerReference r:id="rId12" w:type="first"/>
      <w:headerReference r:id="rId13" w:type="even"/>
      <w:footerReference r:id="rId14" w:type="default"/>
      <w:footerReference r:id="rId15" w:type="first"/>
      <w:footerReference r:id="rId16"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13"/>
        <w:tab w:val="right" w:pos="9026"/>
      </w:tabs>
      <w:jc w:val="right"/>
      <w:rPr>
        <w:b w:val="1"/>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tl w:val="0"/>
      </w:rPr>
      <w:t xml:space="preserve">3</w:t>
    </w:r>
  </w:p>
  <w:p w:rsidR="00000000" w:rsidDel="00000000" w:rsidP="00000000" w:rsidRDefault="00000000" w:rsidRPr="00000000" w14:paraId="00000050">
    <w:pPr>
      <w:tabs>
        <w:tab w:val="center" w:pos="4513"/>
        <w:tab w:val="right" w:pos="9026"/>
      </w:tabs>
      <w:jc w:val="center"/>
      <w:rPr>
        <w:b w:val="1"/>
        <w:color w:val="767171"/>
        <w:sz w:val="28"/>
        <w:szCs w:val="28"/>
      </w:rPr>
    </w:pPr>
    <w:r w:rsidDel="00000000" w:rsidR="00000000" w:rsidRPr="00000000">
      <w:rPr>
        <w:b w:val="1"/>
        <w:color w:val="767171"/>
        <w:sz w:val="28"/>
        <w:szCs w:val="28"/>
        <w:rtl w:val="0"/>
      </w:rPr>
      <w:t xml:space="preserve">    </w:t>
    </w:r>
    <w:r w:rsidDel="00000000" w:rsidR="00000000" w:rsidRPr="00000000">
      <w:rPr>
        <w:b w:val="1"/>
        <w:color w:val="767171"/>
        <w:rtl w:val="0"/>
      </w:rPr>
      <w:t xml:space="preserve"> </w:t>
    </w:r>
    <w:r w:rsidDel="00000000" w:rsidR="00000000" w:rsidRPr="00000000">
      <w:rPr>
        <w:b w:val="1"/>
        <w:color w:val="7f7f7f"/>
        <w:rtl w:val="0"/>
      </w:rPr>
      <w:t xml:space="preserve">Unity    -     Respect    -      Creativity    -      Endeavour   </w:t>
    </w:r>
    <w:r w:rsidDel="00000000" w:rsidR="00000000" w:rsidRPr="00000000">
      <w:rPr>
        <w:b w:val="1"/>
        <w:color w:val="7f7f7f"/>
        <w:sz w:val="28"/>
        <w:szCs w:val="28"/>
        <w:rtl w:val="0"/>
      </w:rPr>
      <w:t xml:space="preserv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line="276" w:lineRule="auto"/>
      <w:rPr>
        <w:b w:val="1"/>
        <w:color w:val="7f7f7f"/>
        <w:sz w:val="36"/>
        <w:szCs w:val="36"/>
      </w:rPr>
    </w:pPr>
    <w:r w:rsidDel="00000000" w:rsidR="00000000" w:rsidRPr="00000000">
      <w:rPr>
        <w:rFonts w:ascii="Arial" w:cs="Arial" w:eastAsia="Arial" w:hAnsi="Arial"/>
        <w:color w:val="434343"/>
      </w:rPr>
      <w:drawing>
        <wp:inline distB="114300" distT="114300" distL="114300" distR="114300">
          <wp:extent cx="1252538" cy="56516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F0BCE"/>
  </w:style>
  <w:style w:type="paragraph" w:styleId="Heading1">
    <w:name w:val="heading 1"/>
    <w:basedOn w:val="Normal"/>
    <w:next w:val="Normal"/>
    <w:link w:val="Heading1Char"/>
    <w:uiPriority w:val="9"/>
    <w:qFormat w:val="1"/>
    <w:rsid w:val="00C03429"/>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233916"/>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C24815"/>
    <w:pPr>
      <w:ind w:left="720"/>
      <w:contextualSpacing w:val="1"/>
    </w:pPr>
  </w:style>
  <w:style w:type="paragraph" w:styleId="BalloonText">
    <w:name w:val="Balloon Text"/>
    <w:basedOn w:val="Normal"/>
    <w:link w:val="BalloonTextChar"/>
    <w:uiPriority w:val="99"/>
    <w:semiHidden w:val="1"/>
    <w:unhideWhenUsed w:val="1"/>
    <w:rsid w:val="001A5E3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A5E35"/>
    <w:rPr>
      <w:rFonts w:ascii="Segoe UI" w:cs="Segoe UI" w:hAnsi="Segoe UI"/>
      <w:sz w:val="18"/>
      <w:szCs w:val="18"/>
    </w:rPr>
  </w:style>
  <w:style w:type="table" w:styleId="TableGrid">
    <w:name w:val="Table Grid"/>
    <w:basedOn w:val="TableNormal"/>
    <w:uiPriority w:val="39"/>
    <w:rsid w:val="0064640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F0BCE"/>
    <w:rPr>
      <w:color w:val="0000ff"/>
      <w:u w:val="single"/>
    </w:rPr>
  </w:style>
  <w:style w:type="character" w:styleId="CommentReference">
    <w:name w:val="annotation reference"/>
    <w:basedOn w:val="DefaultParagraphFont"/>
    <w:uiPriority w:val="99"/>
    <w:semiHidden w:val="1"/>
    <w:unhideWhenUsed w:val="1"/>
    <w:rsid w:val="002539E8"/>
    <w:rPr>
      <w:sz w:val="16"/>
      <w:szCs w:val="16"/>
    </w:rPr>
  </w:style>
  <w:style w:type="paragraph" w:styleId="CommentText">
    <w:name w:val="annotation text"/>
    <w:basedOn w:val="Normal"/>
    <w:link w:val="CommentTextChar"/>
    <w:uiPriority w:val="99"/>
    <w:semiHidden w:val="1"/>
    <w:unhideWhenUsed w:val="1"/>
    <w:rsid w:val="002539E8"/>
    <w:rPr>
      <w:sz w:val="20"/>
      <w:szCs w:val="20"/>
    </w:rPr>
  </w:style>
  <w:style w:type="character" w:styleId="CommentTextChar" w:customStyle="1">
    <w:name w:val="Comment Text Char"/>
    <w:basedOn w:val="DefaultParagraphFont"/>
    <w:link w:val="CommentText"/>
    <w:uiPriority w:val="99"/>
    <w:semiHidden w:val="1"/>
    <w:rsid w:val="002539E8"/>
    <w:rPr>
      <w:rFonts w:ascii="Calibri" w:cs="Calibri" w:hAnsi="Calibri"/>
      <w:sz w:val="20"/>
      <w:szCs w:val="20"/>
    </w:rPr>
  </w:style>
  <w:style w:type="paragraph" w:styleId="CommentSubject">
    <w:name w:val="annotation subject"/>
    <w:basedOn w:val="CommentText"/>
    <w:next w:val="CommentText"/>
    <w:link w:val="CommentSubjectChar"/>
    <w:uiPriority w:val="99"/>
    <w:semiHidden w:val="1"/>
    <w:unhideWhenUsed w:val="1"/>
    <w:rsid w:val="002539E8"/>
    <w:rPr>
      <w:b w:val="1"/>
      <w:bCs w:val="1"/>
    </w:rPr>
  </w:style>
  <w:style w:type="character" w:styleId="CommentSubjectChar" w:customStyle="1">
    <w:name w:val="Comment Subject Char"/>
    <w:basedOn w:val="CommentTextChar"/>
    <w:link w:val="CommentSubject"/>
    <w:uiPriority w:val="99"/>
    <w:semiHidden w:val="1"/>
    <w:rsid w:val="002539E8"/>
    <w:rPr>
      <w:rFonts w:ascii="Calibri" w:cs="Calibri" w:hAnsi="Calibri"/>
      <w:b w:val="1"/>
      <w:bCs w:val="1"/>
      <w:sz w:val="20"/>
      <w:szCs w:val="20"/>
    </w:rPr>
  </w:style>
  <w:style w:type="character" w:styleId="Heading1Char" w:customStyle="1">
    <w:name w:val="Heading 1 Char"/>
    <w:basedOn w:val="DefaultParagraphFont"/>
    <w:link w:val="Heading1"/>
    <w:uiPriority w:val="9"/>
    <w:rsid w:val="00C03429"/>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233916"/>
    <w:rPr>
      <w:rFonts w:asciiTheme="majorHAnsi" w:cstheme="majorBidi" w:eastAsiaTheme="majorEastAsia" w:hAnsiTheme="majorHAnsi"/>
      <w:color w:val="2e74b5" w:themeColor="accent1" w:themeShade="0000BF"/>
      <w:sz w:val="26"/>
      <w:szCs w:val="26"/>
    </w:rPr>
  </w:style>
  <w:style w:type="paragraph" w:styleId="NoSpacing">
    <w:name w:val="No Spacing"/>
    <w:uiPriority w:val="1"/>
    <w:qFormat w:val="1"/>
    <w:rsid w:val="00A64431"/>
  </w:style>
  <w:style w:type="paragraph" w:styleId="Header">
    <w:name w:val="header"/>
    <w:basedOn w:val="Normal"/>
    <w:link w:val="HeaderChar"/>
    <w:uiPriority w:val="99"/>
    <w:unhideWhenUsed w:val="1"/>
    <w:rsid w:val="00F92FE1"/>
    <w:pPr>
      <w:tabs>
        <w:tab w:val="center" w:pos="4513"/>
        <w:tab w:val="right" w:pos="9026"/>
      </w:tabs>
    </w:pPr>
  </w:style>
  <w:style w:type="character" w:styleId="HeaderChar" w:customStyle="1">
    <w:name w:val="Header Char"/>
    <w:basedOn w:val="DefaultParagraphFont"/>
    <w:link w:val="Header"/>
    <w:uiPriority w:val="99"/>
    <w:rsid w:val="00F92FE1"/>
    <w:rPr>
      <w:rFonts w:ascii="Calibri" w:cs="Calibri" w:hAnsi="Calibri"/>
    </w:rPr>
  </w:style>
  <w:style w:type="paragraph" w:styleId="Footer">
    <w:name w:val="footer"/>
    <w:basedOn w:val="Normal"/>
    <w:link w:val="FooterChar"/>
    <w:uiPriority w:val="99"/>
    <w:unhideWhenUsed w:val="1"/>
    <w:rsid w:val="00F92FE1"/>
    <w:pPr>
      <w:tabs>
        <w:tab w:val="center" w:pos="4513"/>
        <w:tab w:val="right" w:pos="9026"/>
      </w:tabs>
    </w:pPr>
  </w:style>
  <w:style w:type="character" w:styleId="FooterChar" w:customStyle="1">
    <w:name w:val="Footer Char"/>
    <w:basedOn w:val="DefaultParagraphFont"/>
    <w:link w:val="Footer"/>
    <w:uiPriority w:val="99"/>
    <w:rsid w:val="00F92FE1"/>
    <w:rPr>
      <w:rFonts w:ascii="Calibri" w:cs="Calibri" w:hAnsi="Calibri"/>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education.vic.gov.au/school/principals/spag/curriculum/pages/workplace.aspx"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school/principals/spag/safety/Pages/dutyofcare.aspx"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education.vic.gov.au/school/principals/spag/curriculum/pages/workplac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CEi33wJPKxeqL5+rno9ESOgCQQ==">AMUW2mV9VT+bAI6AV+JVEhB2n7212Jlx9Jxh56nG7W3Xnkf18/9nW6ThMuCj5JGre4aCmaBanA8JXmQZc/XZWKj8TNw3Y7GvrtNULHlQbwtxbcRURitLzdX6mOcvJnkj9ioyTHKA/ICs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2019-08-20T01:42:00Z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{f6b33349-9d82-4261-9a0e-cbe16341a43d}</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